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F3" w:rsidRPr="00BC6F5C" w:rsidRDefault="0054644C" w:rsidP="004872D8">
      <w:pPr>
        <w:pStyle w:val="2"/>
        <w:rPr>
          <w:i w:val="0"/>
        </w:rPr>
      </w:pPr>
      <w:bookmarkStart w:id="0" w:name="_Toc420589155"/>
      <w:r>
        <w:rPr>
          <w:i w:val="0"/>
        </w:rPr>
        <w:t xml:space="preserve">Форма </w:t>
      </w:r>
      <w:r>
        <w:rPr>
          <w:i w:val="0"/>
          <w:lang w:val="en-US"/>
        </w:rPr>
        <w:t>A</w:t>
      </w:r>
      <w:r w:rsidRPr="0054644C">
        <w:rPr>
          <w:i w:val="0"/>
        </w:rPr>
        <w:t>-1</w:t>
      </w:r>
      <w:r w:rsidR="00BF63F3" w:rsidRPr="00BC6F5C">
        <w:rPr>
          <w:i w:val="0"/>
        </w:rPr>
        <w:t xml:space="preserve"> «</w:t>
      </w:r>
      <w:bookmarkStart w:id="1" w:name="_GoBack"/>
      <w:r w:rsidR="00BF63F3" w:rsidRPr="00BC6F5C">
        <w:rPr>
          <w:i w:val="0"/>
        </w:rPr>
        <w:t>Анкета для Подрядчиков</w:t>
      </w:r>
      <w:bookmarkEnd w:id="1"/>
      <w:r w:rsidR="00BF63F3" w:rsidRPr="00BC6F5C">
        <w:rPr>
          <w:i w:val="0"/>
        </w:rPr>
        <w:t>»</w:t>
      </w:r>
      <w:bookmarkEnd w:id="0"/>
    </w:p>
    <w:p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3"/>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C830D2"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lastRenderedPageBreak/>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w:t>
            </w:r>
            <w:proofErr w:type="spellStart"/>
            <w:r w:rsidRPr="00AE6874">
              <w:rPr>
                <w:sz w:val="22"/>
                <w:szCs w:val="22"/>
                <w:lang w:val="ru-RU"/>
              </w:rPr>
              <w:t>КТК</w:t>
            </w:r>
            <w:proofErr w:type="spellEnd"/>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lastRenderedPageBreak/>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w:t>
            </w:r>
            <w:r w:rsidRPr="00AE6874">
              <w:rPr>
                <w:sz w:val="22"/>
                <w:szCs w:val="22"/>
              </w:rPr>
              <w:lastRenderedPageBreak/>
              <w:t xml:space="preserve">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C830D2"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lastRenderedPageBreak/>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w:t>
            </w:r>
            <w:proofErr w:type="spellStart"/>
            <w:r w:rsidR="004D5099">
              <w:t>CJSC</w:t>
            </w:r>
            <w:proofErr w:type="spellEnd"/>
            <w:r w:rsidR="004D5099">
              <w:t xml:space="preserve">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proofErr w:type="gramStart"/>
            <w:r>
              <w:t xml:space="preserve">I hereby acknowledge and certify that, if any data specified herein and/or personal data need to be provided in order to achieve the aforesaid objectives, CPC may disclose data specified </w:t>
            </w:r>
            <w:r>
              <w:lastRenderedPageBreak/>
              <w:t>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8"/>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XCEFXXA52HKF-488049123-17578</_dlc_DocId>
    <_dlc_DocIdUrl xmlns="ddafa7ab-6422-4290-9b07-4d4edc488714">
      <Url>http://des.cpcpipe.ru/irdqms/_layouts/15/DocIdRedir.aspx?ID=XCEFXXA52HKF-488049123-17578</Url>
      <Description>XCEFXXA52HKF-488049123-17578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4" ma:contentTypeDescription="Create a new document." ma:contentTypeScope="" ma:versionID="0276ef8e6a621c5074570787673c1ebf">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0d120fe090819fec518317dcefd6c6d0"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C98BA-3300-48A3-AFF4-FB6CB9BFB0F9}"/>
</file>

<file path=customXml/itemProps2.xml><?xml version="1.0" encoding="utf-8"?>
<ds:datastoreItem xmlns:ds="http://schemas.openxmlformats.org/officeDocument/2006/customXml" ds:itemID="{9E5038EA-D8A4-4E79-A408-1BE8C170ECE5}"/>
</file>

<file path=customXml/itemProps3.xml><?xml version="1.0" encoding="utf-8"?>
<ds:datastoreItem xmlns:ds="http://schemas.openxmlformats.org/officeDocument/2006/customXml" ds:itemID="{89837DD5-5D73-46D4-9E63-2ABB64AFFD02}"/>
</file>

<file path=customXml/itemProps4.xml><?xml version="1.0" encoding="utf-8"?>
<ds:datastoreItem xmlns:ds="http://schemas.openxmlformats.org/officeDocument/2006/customXml" ds:itemID="{F8BD6506-65E5-4431-9054-B808DBD79B50}"/>
</file>

<file path=customXml/itemProps5.xml><?xml version="1.0" encoding="utf-8"?>
<ds:datastoreItem xmlns:ds="http://schemas.openxmlformats.org/officeDocument/2006/customXml" ds:itemID="{4756CF99-847B-43C0-A847-635AD791BC10}"/>
</file>

<file path=docProps/app.xml><?xml version="1.0" encoding="utf-8"?>
<Properties xmlns="http://schemas.openxmlformats.org/officeDocument/2006/extended-properties" xmlns:vt="http://schemas.openxmlformats.org/officeDocument/2006/docPropsVTypes">
  <Template>Normal.dotm</Template>
  <TotalTime>148</TotalTime>
  <Pages>8</Pages>
  <Words>2380</Words>
  <Characters>15781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klad0614</cp:lastModifiedBy>
  <cp:revision>19</cp:revision>
  <cp:lastPrinted>2015-04-14T13:27:00Z</cp:lastPrinted>
  <dcterms:created xsi:type="dcterms:W3CDTF">2017-11-03T12:37:00Z</dcterms:created>
  <dcterms:modified xsi:type="dcterms:W3CDTF">2018-01-31T14:20:00Z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03335614-b3db-4a97-8a69-d15d00a478a4</vt:lpwstr>
  </property>
</Properties>
</file>